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euteronomy-7"/>
    <w:p>
      <w:pPr>
        <w:pStyle w:val="Heading1"/>
      </w:pPr>
      <w:r>
        <w:t xml:space="preserve">Homiletics Analysis: Deuteronomy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Deuteronomy 7 is Moses’s extended charge to Israel on the threshold of Canaan, addressing three interlocking concerns: the command to destroy the Canaanite nations utterly and make no covenantal or marital alliances with them (vv. 1–5); the theological grounding of that command in Israel’s identity as a holy, chosen, and beloved people — chosen not because of merit but by sovereign grace (vv. 6–11); and the conditional promise that covenant faithfulness will produce blessing, fruitfulness, and victory over enemies, while the LORD himself fights on Israel’s behalf against the nations she fears (vv. 12–26). The chapter moves from command to identity to motivation — from what Israel must do, to who Israel is, to why Israel can do it. The destruction of Canaanite altars, images, and sacred poles (v. 5) and the prohibition against taking Canaanite silver and gold (vv. 25–26) frame the chapter with a concern for</w:t>
      </w:r>
      <w:r>
        <w:t xml:space="preserve"> </w:t>
      </w:r>
      <w:r>
        <w:rPr>
          <w:i/>
          <w:iCs/>
        </w:rPr>
        <w:t xml:space="preserve">thorough</w:t>
      </w:r>
      <w:r>
        <w:t xml:space="preserve"> </w:t>
      </w:r>
      <w:r>
        <w:t xml:space="preserve">separation, not merely formal separation. Syncretism — the mixing of Yahweh-worship with Canaanite religious structures — is the specific danger Moses is guarding against.</w:t>
      </w:r>
    </w:p>
    <w:p>
      <w:pPr>
        <w:pStyle w:val="BodyText"/>
      </w:pPr>
      <w:r>
        <w:rPr>
          <w:b/>
          <w:bCs/>
        </w:rPr>
        <w:t xml:space="preserve">This Text — Intent</w:t>
      </w:r>
    </w:p>
    <w:p>
      <w:pPr>
        <w:pStyle w:val="BodyText"/>
      </w:pPr>
      <w:r>
        <w:t xml:space="preserve">God is not primarily delivering a military briefing or a set of conquest logistics. He is addressing the deep spiritual vulnerability of a people about to enter a world saturated with rival gods, rival worship systems, and rival visions of the good life. The intent is to inoculate Israel against assimilation by rooting their obedience in the only soil that can sustain it: a true understanding of who God is and who they are in relation to Him. The fear that will tempt them toward accommodation (</w:t>
      </w:r>
      <w:r>
        <w:t xml:space="preserve">“these nations are more numerous than I,”</w:t>
      </w:r>
      <w:r>
        <w:t xml:space="preserve"> </w:t>
      </w:r>
      <w:r>
        <w:t xml:space="preserve">v. 17) must be displaced by a richer fear — the fear of a God who keeps covenant love for thousands of generations (v. 9) and who destroyed Egypt with the very power now pledged on Israel’s behalf (vv. 18–19). The chapter aims to produce not merely compliance but confident, worshipful obedience — a people who separate from Canaanite religious culture not out of ethnic superiority but out of knowing themselves to be the LORD’s treasured possession, chosen and loved, obligated to holiness by grace.</w:t>
      </w:r>
    </w:p>
    <w:p>
      <w:r>
        <w:pict>
          <v:rect style="width:0;height:1.5pt" o:hralign="center" o:hrstd="t" o:hr="t"/>
        </w:pict>
      </w:r>
    </w:p>
    <w:p>
      <w:pPr>
        <w:pStyle w:val="FirstParagraph"/>
      </w:pPr>
      <w:r>
        <w:rPr>
          <w:b/>
          <w:bCs/>
        </w:rPr>
        <w:t xml:space="preserve">Subject Sentence:</w:t>
      </w:r>
      <w:r>
        <w:t xml:space="preserve"> </w:t>
      </w:r>
      <w:r>
        <w:t xml:space="preserve">Israel’s identity as the LORD’s beloved, chosen people grounds radical separation from Canaanite religion.</w:t>
      </w:r>
    </w:p>
    <w:p>
      <w:r>
        <w:pict>
          <v:rect style="width:0;height:1.5pt" o:hralign="center" o:hrstd="t" o:hr="t"/>
        </w:pict>
      </w:r>
    </w:p>
    <w:p>
      <w:pPr>
        <w:pStyle w:val="FirstParagraph"/>
      </w:pPr>
      <w:r>
        <w:rPr>
          <w:b/>
          <w:bCs/>
        </w:rPr>
        <w:t xml:space="preserve">Primary Claim:</w:t>
      </w:r>
      <w:r>
        <w:t xml:space="preserve"> </w:t>
      </w:r>
      <w:r>
        <w:t xml:space="preserve">God is calling His people to understand their chosen identity so thoroughly — as loved, not as deserving — that the fear of the nations is displaced by confident, worshipful obedience and complete refusal of religious syncretism.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Herem Command (vv. 1–5, 16–24): The Central Hermeneutical Difficulty</w:t>
      </w:r>
    </w:p>
    <w:p>
      <w:pPr>
        <w:pStyle w:val="BodyText"/>
      </w:pPr>
      <w:r>
        <w:t xml:space="preserve">The command to</w:t>
      </w:r>
      <w:r>
        <w:t xml:space="preserve"> </w:t>
      </w:r>
      <w:r>
        <w:rPr>
          <w:i/>
          <w:iCs/>
        </w:rPr>
        <w:t xml:space="preserve">herem</w:t>
      </w:r>
      <w:r>
        <w:t xml:space="preserve"> </w:t>
      </w:r>
      <w:r>
        <w:t xml:space="preserve">(devote to destruction) the seven Canaanite nations is the most contested element of this chapter and requires honest engagement. Several distinct readings exist:</w:t>
      </w:r>
    </w:p>
    <w:p>
      <w:pPr>
        <w:pStyle w:val="BodyText"/>
      </w:pPr>
      <w:r>
        <w:t xml:space="preserve">The</w:t>
      </w:r>
      <w:r>
        <w:t xml:space="preserve"> </w:t>
      </w:r>
      <w:r>
        <w:rPr>
          <w:b/>
          <w:bCs/>
        </w:rPr>
        <w:t xml:space="preserve">moral-developmental reading</w:t>
      </w:r>
      <w:r>
        <w:t xml:space="preserve"> </w:t>
      </w:r>
      <w:r>
        <w:t xml:space="preserve">(associated with progressive revelation frameworks across multiple traditions) treats the herem command as reflecting an earlier, less morally developed stage of Israel’s understanding of God, now superseded by Christ’s ethic. This reading must be</w:t>
      </w:r>
      <w:r>
        <w:t xml:space="preserve"> </w:t>
      </w:r>
      <w:r>
        <w:rPr>
          <w:i/>
          <w:iCs/>
        </w:rPr>
        <w:t xml:space="preserve">refuted</w:t>
      </w:r>
      <w:r>
        <w:t xml:space="preserve">. It imports an evolutionary model of revelation that the text itself does not permit, undermines the coherence of a canonical approach to Scripture, and fails to account for the New Testament’s own affirmation of God’s judgment on the Canaanites (see Hebrews 11:31; the canonical treatment of Rahab implies the destruction of Jericho was itself just). More importantly, it removes the theological grounding Moses himself provides — the herem is not ethnic cleansing rationalized by religion; it is judicial execution by God of a people whose iniquity was</w:t>
      </w:r>
      <w:r>
        <w:t xml:space="preserve"> </w:t>
      </w:r>
      <w:r>
        <w:t xml:space="preserve">“full”</w:t>
      </w:r>
      <w:r>
        <w:t xml:space="preserve"> </w:t>
      </w:r>
      <w:r>
        <w:t xml:space="preserve">(Genesis 15:16), carried out through Israel as instrument.</w:t>
      </w:r>
    </w:p>
    <w:p>
      <w:pPr>
        <w:pStyle w:val="BodyText"/>
      </w:pPr>
      <w:r>
        <w:t xml:space="preserve">The</w:t>
      </w:r>
      <w:r>
        <w:t xml:space="preserve"> </w:t>
      </w:r>
      <w:r>
        <w:rPr>
          <w:b/>
          <w:bCs/>
        </w:rPr>
        <w:t xml:space="preserve">typological-fulfilled reading</w:t>
      </w:r>
      <w:r>
        <w:t xml:space="preserve">, common in Reformed exposition, holds that the herem command was a historically specific, unrepeatable act of divine judgment on a particular people at a particular moment in redemptive history — not a template for Christian holy war or national religious policy. The conquest is typological: it foreshadows the final judgment in which all that is opposed to the LORD is destroyed, and the New Jerusalem is established without rival. This reading is preferred. It accounts for the passage’s own specificity (seven named nations, this land, this moment), its canonical uniqueness (no general warrant for herem is given in the rest of Scripture), and its typological trajectory (Joshua and the conquest are consistently treated in the New Testament as shadows of final eschatological victory). The Reformed reading does not soften the text — it insists the judgment was real, just, and historically accomplished — but it reads it within its redemptive-historical frame.</w:t>
      </w:r>
    </w:p>
    <w:p>
      <w:pPr>
        <w:pStyle w:val="BodyText"/>
      </w:pPr>
      <w:r>
        <w:t xml:space="preserve">The</w:t>
      </w:r>
      <w:r>
        <w:t xml:space="preserve"> </w:t>
      </w:r>
      <w:r>
        <w:rPr>
          <w:b/>
          <w:bCs/>
        </w:rPr>
        <w:t xml:space="preserve">Dispensational reading</w:t>
      </w:r>
      <w:r>
        <w:t xml:space="preserve"> </w:t>
      </w:r>
      <w:r>
        <w:t xml:space="preserve">tends to treat the conquest as directly continuous with a future national Israel regaining the land, sometimes reactivating the distinctives of Israel’s theocratic identity. This should be</w:t>
      </w:r>
      <w:r>
        <w:t xml:space="preserve"> </w:t>
      </w:r>
      <w:r>
        <w:rPr>
          <w:i/>
          <w:iCs/>
        </w:rPr>
        <w:t xml:space="preserve">qualified</w:t>
      </w:r>
      <w:r>
        <w:t xml:space="preserve">. While Dispensationalism is correct to take the historical specificity of Israel’s calling seriously, it underreads the typological and Christological dimensions of the conquest narrative, and it cannot account for the New Testament’s transfer of conquest imagery to the church’s spiritual warfare (Ephesians 6; Revelation 19) without significant hermeneutical awkwardness.</w:t>
      </w:r>
    </w:p>
    <w:p>
      <w:pPr>
        <w:pStyle w:val="BodyText"/>
      </w:pPr>
      <w:r>
        <w:rPr>
          <w:b/>
          <w:bCs/>
        </w:rPr>
        <w:t xml:space="preserve">The Election Passage (vv. 6–8): Merit vs. Grace</w:t>
      </w:r>
    </w:p>
    <w:p>
      <w:pPr>
        <w:pStyle w:val="BodyText"/>
      </w:pPr>
      <w:r>
        <w:t xml:space="preserve">Verses 6–8 are among the clearest statements of unconditional election in the Old Testament. The Wesleyan/Arminian tradition tends to read election here as corporate and conditional — God chose Israel as a nation because He foresaw their responsiveness, or because election functions at the national level rather than the individual level. This reading must be</w:t>
      </w:r>
      <w:r>
        <w:t xml:space="preserve"> </w:t>
      </w:r>
      <w:r>
        <w:rPr>
          <w:i/>
          <w:iCs/>
        </w:rPr>
        <w:t xml:space="preserve">qualified</w:t>
      </w:r>
      <w:r>
        <w:t xml:space="preserve">. The text is explicit: Israel was not chosen because it was numerous (v. 7) — the counterfactual specifically eliminates any merit-based logic. The ground of election is the LORD’s love (v. 8) and His oath to the fathers — both of which are grounded entirely in God’s own character and will, not in anything Israel brought to the relationship. The corporate dimension is real — this is a national election — but the logic of the passage requires unconditionality: if any human quality were the ground, Israel’s smallness would disqualify rather than confirm. The Reformed reading — that election here is unconditional, driven by sovereign grace, grounded in divine love and prior oath — best accounts for the text’s own argument structure.</w:t>
      </w:r>
    </w:p>
    <w:p>
      <w:pPr>
        <w:pStyle w:val="BodyText"/>
      </w:pPr>
      <w:r>
        <w:rPr>
          <w:b/>
          <w:bCs/>
        </w:rPr>
        <w:t xml:space="preserve">The Blessings/Curses Framework (vv. 12–26): Conditionality and Covenant</w:t>
      </w:r>
    </w:p>
    <w:p>
      <w:pPr>
        <w:pStyle w:val="BodyText"/>
      </w:pPr>
      <w:r>
        <w:t xml:space="preserve">The conditional structure of vv. 12–15 (</w:t>
      </w:r>
      <w:r>
        <w:t xml:space="preserve">“if you listen to these rules and keep and do them”</w:t>
      </w:r>
      <w:r>
        <w:t xml:space="preserve">) raises the question of how covenantal conditionality relates to the unconditional grace of election. Some Lutheran readings flatten the tension: Law demands, Gospel gives, and the conditional blessings of vv. 12ff. belong entirely to the Law’s realm. This is to be</w:t>
      </w:r>
      <w:r>
        <w:t xml:space="preserve"> </w:t>
      </w:r>
      <w:r>
        <w:rPr>
          <w:i/>
          <w:iCs/>
        </w:rPr>
        <w:t xml:space="preserve">qualified</w:t>
      </w:r>
      <w:r>
        <w:t xml:space="preserve">. The chapter holds both realities without collapsing them: the election is unconditional (vv. 6–8), but life within the covenant is lived responsively. The conditional blessings are covenant blessings — they are not the basis of Israel’s acceptance before God but the shape of Israel’s flourishing as a covenant people. The Reformed understanding of covenant — unconditional in its foundation, responsive in its administration — best integrates these two dimensions.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15:13–16</w:t>
      </w:r>
      <w:r>
        <w:t xml:space="preserve"> </w:t>
      </w:r>
      <w:r>
        <w:t xml:space="preserve">— God’s statement that the iniquity of the Amorites is</w:t>
      </w:r>
      <w:r>
        <w:t xml:space="preserve"> </w:t>
      </w:r>
      <w:r>
        <w:t xml:space="preserve">“not yet complete”</w:t>
      </w:r>
      <w:r>
        <w:t xml:space="preserve"> </w:t>
      </w:r>
      <w:r>
        <w:t xml:space="preserve">establishes the theological basis for the herem command in Deuteronomy 7: the conquest is not arbitrary destruction but the execution of delayed, measured, just judgment. The same God who chose Abram is now, four centuries later, making good on a specific judicial declaration.</w:t>
      </w:r>
    </w:p>
    <w:p>
      <w:pPr>
        <w:numPr>
          <w:ilvl w:val="0"/>
          <w:numId w:val="1001"/>
        </w:numPr>
      </w:pPr>
      <w:r>
        <w:rPr>
          <w:b/>
          <w:bCs/>
        </w:rPr>
        <w:t xml:space="preserve">Exodus 19:3–6</w:t>
      </w:r>
      <w:r>
        <w:t xml:space="preserve"> </w:t>
      </w:r>
      <w:r>
        <w:t xml:space="preserve">— God’s declaration at Sinai that Israel is His</w:t>
      </w:r>
      <w:r>
        <w:t xml:space="preserve"> </w:t>
      </w:r>
      <w:r>
        <w:t xml:space="preserve">“treasured possession,”</w:t>
      </w:r>
      <w:r>
        <w:t xml:space="preserve"> </w:t>
      </w:r>
      <w:r>
        <w:t xml:space="preserve">“kingdom of priests,”</w:t>
      </w:r>
      <w:r>
        <w:t xml:space="preserve"> </w:t>
      </w:r>
      <w:r>
        <w:t xml:space="preserve">and</w:t>
      </w:r>
      <w:r>
        <w:t xml:space="preserve"> </w:t>
      </w:r>
      <w:r>
        <w:t xml:space="preserve">“holy nation”</w:t>
      </w:r>
      <w:r>
        <w:t xml:space="preserve"> </w:t>
      </w:r>
      <w:r>
        <w:t xml:space="preserve">establishes the identity language Moses draws on in Deuteronomy 7:6. The election of Israel for holiness and separation is rooted in the Sinai covenant, and Deuteronomy 7 is its ethical application at the moment of entering the land.</w:t>
      </w:r>
    </w:p>
    <w:p>
      <w:pPr>
        <w:numPr>
          <w:ilvl w:val="0"/>
          <w:numId w:val="1001"/>
        </w:numPr>
      </w:pPr>
      <w:r>
        <w:rPr>
          <w:b/>
          <w:bCs/>
        </w:rPr>
        <w:t xml:space="preserve">Romans 9:10–16</w:t>
      </w:r>
      <w:r>
        <w:t xml:space="preserve"> </w:t>
      </w:r>
      <w:r>
        <w:t xml:space="preserve">— Paul’s exposition of divine election draws on the same logic as Deuteronomy 7:6–8: not by works, not by descent, not by human will, but by the one who calls. Paul treats the Old Testament election narratives as canonical evidence for unconditional sovereign election — confirming the Reformed reading of this chapter’s intent.</w:t>
      </w:r>
    </w:p>
    <w:p>
      <w:pPr>
        <w:numPr>
          <w:ilvl w:val="0"/>
          <w:numId w:val="1001"/>
        </w:numPr>
      </w:pPr>
      <w:r>
        <w:rPr>
          <w:b/>
          <w:bCs/>
        </w:rPr>
        <w:t xml:space="preserve">Ephesians 6:10–18</w:t>
      </w:r>
      <w:r>
        <w:t xml:space="preserve"> </w:t>
      </w:r>
      <w:r>
        <w:t xml:space="preserve">— The New Testament’s transfer of conquest language to spiritual warfare (</w:t>
      </w:r>
      <w:r>
        <w:t xml:space="preserve">“our struggle is not against flesh and blood”</w:t>
      </w:r>
      <w:r>
        <w:t xml:space="preserve">) confirms the typological reading of the herem: the Christian’s warfare against spiritual powers is the fulfillment of what the physical conquest of Canaan anticipated. Separation from the world’s spiritual system (Ephesians 5:1–17) is the New Covenant analogue to Israel’s separation from Canaanite religious culture.</w:t>
      </w:r>
    </w:p>
    <w:p>
      <w:pPr>
        <w:numPr>
          <w:ilvl w:val="0"/>
          <w:numId w:val="1001"/>
        </w:numPr>
      </w:pPr>
      <w:r>
        <w:rPr>
          <w:b/>
          <w:bCs/>
        </w:rPr>
        <w:t xml:space="preserve">1 Peter 2:9–10</w:t>
      </w:r>
      <w:r>
        <w:t xml:space="preserve"> </w:t>
      </w:r>
      <w:r>
        <w:t xml:space="preserve">— Peter applies Deuteronomy 7’s election language (</w:t>
      </w:r>
      <w:r>
        <w:t xml:space="preserve">“a chosen people, a royal priesthood, a holy nation, a people belonging to God”</w:t>
      </w:r>
      <w:r>
        <w:t xml:space="preserve">) directly to the New Covenant church, establishing a canonical trajectory: what the herem and separation commands required for Israel in Canaan, the church’s call to holiness among the nations requires in a different but analogous form.</w:t>
      </w:r>
    </w:p>
    <w:p>
      <w:r>
        <w:pict>
          <v:rect style="width:0;height:1.5pt" o:hralign="center" o:hrstd="t" o:hr="t"/>
        </w:pict>
      </w:r>
    </w:p>
    <w:p>
      <w:pPr>
        <w:pStyle w:val="FirstParagraph"/>
      </w:pPr>
      <w:r>
        <w:rPr>
          <w:b/>
          <w:bCs/>
        </w:rPr>
        <w:t xml:space="preserve">Aim:</w:t>
      </w:r>
      <w:r>
        <w:t xml:space="preserve"> </w:t>
      </w:r>
      <w:r>
        <w:t xml:space="preserve">To demonstrate that Israel’s complete separation from Canaanite religion was grounded not in ethnic pride but in the gracious, sovereign love of God — and that this same gracious election is the only sufficient motivation for the church’s resistance to spiritual assimilation today.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1–2a</w:t>
            </w:r>
          </w:p>
        </w:tc>
        <w:tc>
          <w:tcPr/>
          <w:p>
            <w:pPr>
              <w:pStyle w:val="Compact"/>
            </w:pPr>
            <w:r>
              <w:t xml:space="preserve">The LORD will bring Israel into Canaan and deliver seven nations — greater and mightier — before them</w:t>
            </w:r>
          </w:p>
        </w:tc>
        <w:tc>
          <w:tcPr/>
          <w:p>
            <w:pPr>
              <w:pStyle w:val="Compact"/>
            </w:pPr>
            <w:r>
              <w:t xml:space="preserve">The seven nations are named; the size disparity (</w:t>
            </w:r>
            <w:r>
              <w:t xml:space="preserve">“greater and mightier”</w:t>
            </w:r>
            <w:r>
              <w:t xml:space="preserve">) is acknowledged — this is not naive triumphalism</w:t>
            </w:r>
          </w:p>
        </w:tc>
      </w:tr>
      <w:tr>
        <w:tc>
          <w:tcPr/>
          <w:p>
            <w:pPr>
              <w:pStyle w:val="Compact"/>
            </w:pPr>
            <w:r>
              <w:t xml:space="preserve">2b–3</w:t>
            </w:r>
          </w:p>
        </w:tc>
        <w:tc>
          <w:tcPr/>
          <w:p>
            <w:pPr>
              <w:pStyle w:val="Compact"/>
            </w:pPr>
            <w:r>
              <w:t xml:space="preserve">Command:</w:t>
            </w:r>
            <w:r>
              <w:t xml:space="preserve"> </w:t>
            </w:r>
            <w:r>
              <w:rPr>
                <w:i/>
                <w:iCs/>
              </w:rPr>
              <w:t xml:space="preserve">herem</w:t>
            </w:r>
            <w:r>
              <w:t xml:space="preserve"> </w:t>
            </w:r>
            <w:r>
              <w:t xml:space="preserve">— utterly destroy; make no covenant; show no mercy; do not intermarry</w:t>
            </w:r>
          </w:p>
        </w:tc>
        <w:tc>
          <w:tcPr/>
          <w:p>
            <w:pPr>
              <w:pStyle w:val="Compact"/>
            </w:pPr>
            <w:r>
              <w:t xml:space="preserve">Three prohibitions: treaty, mercy, marriage — each closes off a different avenue of assimilation</w:t>
            </w:r>
          </w:p>
        </w:tc>
      </w:tr>
      <w:tr>
        <w:tc>
          <w:tcPr/>
          <w:p>
            <w:pPr>
              <w:pStyle w:val="Compact"/>
            </w:pPr>
            <w:r>
              <w:t xml:space="preserve">4</w:t>
            </w:r>
          </w:p>
        </w:tc>
        <w:tc>
          <w:tcPr/>
          <w:p>
            <w:pPr>
              <w:pStyle w:val="Compact"/>
            </w:pPr>
            <w:r>
              <w:t xml:space="preserve">Reason for intermarriage prohibition: it will turn your sons away from following the LORD</w:t>
            </w:r>
          </w:p>
        </w:tc>
        <w:tc>
          <w:tcPr/>
          <w:p>
            <w:pPr>
              <w:pStyle w:val="Compact"/>
            </w:pPr>
            <w:r>
              <w:t xml:space="preserve">The danger is not ethnic but theological — intermarriage leads to idolatry</w:t>
            </w:r>
          </w:p>
        </w:tc>
      </w:tr>
      <w:tr>
        <w:tc>
          <w:tcPr/>
          <w:p>
            <w:pPr>
              <w:pStyle w:val="Compact"/>
            </w:pPr>
            <w:r>
              <w:t xml:space="preserve">5</w:t>
            </w:r>
          </w:p>
        </w:tc>
        <w:tc>
          <w:tcPr/>
          <w:p>
            <w:pPr>
              <w:pStyle w:val="Compact"/>
            </w:pPr>
            <w:r>
              <w:t xml:space="preserve">Command to destroy Canaanite religious infrastructure: altars, pillars, Asherah poles, carved images</w:t>
            </w:r>
          </w:p>
        </w:tc>
        <w:tc>
          <w:tcPr/>
          <w:p>
            <w:pPr>
              <w:pStyle w:val="Compact"/>
            </w:pPr>
            <w:r>
              <w:t xml:space="preserve">The physical destruction of worship sites is commanded — syncretism cannot survive if its infrastructure is removed</w:t>
            </w:r>
          </w:p>
        </w:tc>
      </w:tr>
      <w:tr>
        <w:tc>
          <w:tcPr/>
          <w:p>
            <w:pPr>
              <w:pStyle w:val="Compact"/>
            </w:pPr>
            <w:r>
              <w:t xml:space="preserve">6</w:t>
            </w:r>
          </w:p>
        </w:tc>
        <w:tc>
          <w:tcPr/>
          <w:p>
            <w:pPr>
              <w:pStyle w:val="Compact"/>
            </w:pPr>
            <w:r>
              <w:t xml:space="preserve">Israel is</w:t>
            </w:r>
            <w:r>
              <w:t xml:space="preserve"> </w:t>
            </w:r>
            <w:r>
              <w:rPr>
                <w:i/>
                <w:iCs/>
              </w:rPr>
              <w:t xml:space="preserve">am segullah</w:t>
            </w:r>
            <w:r>
              <w:t xml:space="preserve"> </w:t>
            </w:r>
            <w:r>
              <w:t xml:space="preserve">— a holy people, a treasured possession, chosen from all peoples</w:t>
            </w:r>
          </w:p>
        </w:tc>
        <w:tc>
          <w:tcPr/>
          <w:p>
            <w:pPr>
              <w:pStyle w:val="Compact"/>
            </w:pPr>
            <w:r>
              <w:t xml:space="preserve">The theological grounding for vv. 1–5 begins here;</w:t>
            </w:r>
            <w:r>
              <w:t xml:space="preserve"> </w:t>
            </w:r>
            <w:r>
              <w:t xml:space="preserve">“treasured possession”</w:t>
            </w:r>
            <w:r>
              <w:t xml:space="preserve"> </w:t>
            </w:r>
            <w:r>
              <w:t xml:space="preserve">(</w:t>
            </w:r>
            <w:r>
              <w:rPr>
                <w:i/>
                <w:iCs/>
              </w:rPr>
              <w:t xml:space="preserve">segullah</w:t>
            </w:r>
            <w:r>
              <w:t xml:space="preserve">) is covenantal intimacy language</w:t>
            </w:r>
          </w:p>
        </w:tc>
      </w:tr>
      <w:tr>
        <w:tc>
          <w:tcPr/>
          <w:p>
            <w:pPr>
              <w:pStyle w:val="Compact"/>
            </w:pPr>
            <w:r>
              <w:t xml:space="preserve">7</w:t>
            </w:r>
          </w:p>
        </w:tc>
        <w:tc>
          <w:tcPr/>
          <w:p>
            <w:pPr>
              <w:pStyle w:val="Compact"/>
            </w:pPr>
            <w:r>
              <w:t xml:space="preserve">The choice was not because Israel was numerous — it was the smallest of peoples</w:t>
            </w:r>
          </w:p>
        </w:tc>
        <w:tc>
          <w:tcPr/>
          <w:p>
            <w:pPr>
              <w:pStyle w:val="Compact"/>
            </w:pPr>
            <w:r>
              <w:t xml:space="preserve">Explicit elimination of merit; size is the counterfactual offered</w:t>
            </w:r>
          </w:p>
        </w:tc>
      </w:tr>
      <w:tr>
        <w:tc>
          <w:tcPr/>
          <w:p>
            <w:pPr>
              <w:pStyle w:val="Compact"/>
            </w:pPr>
            <w:r>
              <w:t xml:space="preserve">8</w:t>
            </w:r>
          </w:p>
        </w:tc>
        <w:tc>
          <w:tcPr/>
          <w:p>
            <w:pPr>
              <w:pStyle w:val="Compact"/>
            </w:pPr>
            <w:r>
              <w:t xml:space="preserve">Because the LORD loved Israel and kept His oath to the fathers — He brought them out with a mighty hand</w:t>
            </w:r>
          </w:p>
        </w:tc>
        <w:tc>
          <w:tcPr/>
          <w:p>
            <w:pPr>
              <w:pStyle w:val="Compact"/>
            </w:pPr>
            <w:r>
              <w:t xml:space="preserve">The double ground of election: love and prior oath; both are entirely God’s own initiative</w:t>
            </w:r>
          </w:p>
        </w:tc>
      </w:tr>
      <w:tr>
        <w:tc>
          <w:tcPr/>
          <w:p>
            <w:pPr>
              <w:pStyle w:val="Compact"/>
            </w:pPr>
            <w:r>
              <w:t xml:space="preserve">9</w:t>
            </w:r>
          </w:p>
        </w:tc>
        <w:tc>
          <w:tcPr/>
          <w:p>
            <w:pPr>
              <w:pStyle w:val="Compact"/>
            </w:pPr>
            <w:r>
              <w:t xml:space="preserve">The LORD your God is God — faithful, keeping covenant love (</w:t>
            </w:r>
            <w:r>
              <w:rPr>
                <w:i/>
                <w:iCs/>
              </w:rPr>
              <w:t xml:space="preserve">hesed</w:t>
            </w:r>
            <w:r>
              <w:t xml:space="preserve">) for thousands of generations to those who love Him</w:t>
            </w:r>
          </w:p>
        </w:tc>
        <w:tc>
          <w:tcPr/>
          <w:p>
            <w:pPr>
              <w:pStyle w:val="Compact"/>
            </w:pPr>
            <w:r>
              <w:t xml:space="preserve">The doxological center of the chapter; faithfulness of God stated as ground of obedience</w:t>
            </w:r>
          </w:p>
        </w:tc>
      </w:tr>
      <w:tr>
        <w:tc>
          <w:tcPr/>
          <w:p>
            <w:pPr>
              <w:pStyle w:val="Compact"/>
            </w:pPr>
            <w:r>
              <w:t xml:space="preserve">10</w:t>
            </w:r>
          </w:p>
        </w:tc>
        <w:tc>
          <w:tcPr/>
          <w:p>
            <w:pPr>
              <w:pStyle w:val="Compact"/>
            </w:pPr>
            <w:r>
              <w:t xml:space="preserve">But those who hate Him He repays to their faces — He does not delay</w:t>
            </w:r>
          </w:p>
        </w:tc>
        <w:tc>
          <w:tcPr/>
          <w:p>
            <w:pPr>
              <w:pStyle w:val="Compact"/>
            </w:pPr>
            <w:r>
              <w:t xml:space="preserve">The two-sidedness of covenant faithfulness: love to the thousands, judgment to the obstinate</w:t>
            </w:r>
          </w:p>
        </w:tc>
      </w:tr>
      <w:tr>
        <w:tc>
          <w:tcPr/>
          <w:p>
            <w:pPr>
              <w:pStyle w:val="Compact"/>
            </w:pPr>
            <w:r>
              <w:t xml:space="preserve">11</w:t>
            </w:r>
          </w:p>
        </w:tc>
        <w:tc>
          <w:tcPr/>
          <w:p>
            <w:pPr>
              <w:pStyle w:val="Compact"/>
            </w:pPr>
            <w:r>
              <w:t xml:space="preserve">Therefore, keep the commandment, statutes, and rules</w:t>
            </w:r>
          </w:p>
        </w:tc>
        <w:tc>
          <w:tcPr/>
          <w:p>
            <w:pPr>
              <w:pStyle w:val="Compact"/>
            </w:pPr>
            <w:r>
              <w:t xml:space="preserve">Verse 11 is the logical hinge: theological declaration → ethical imperative</w:t>
            </w:r>
          </w:p>
        </w:tc>
      </w:tr>
      <w:tr>
        <w:tc>
          <w:tcPr/>
          <w:p>
            <w:pPr>
              <w:pStyle w:val="Compact"/>
            </w:pPr>
            <w:r>
              <w:t xml:space="preserve">12–13</w:t>
            </w:r>
          </w:p>
        </w:tc>
        <w:tc>
          <w:tcPr/>
          <w:p>
            <w:pPr>
              <w:pStyle w:val="Compact"/>
            </w:pPr>
            <w:r>
              <w:t xml:space="preserve">Conditional promise: if you listen and keep them, the LORD will keep covenant love; bless fruit of womb, ground, livestock</w:t>
            </w:r>
          </w:p>
        </w:tc>
        <w:tc>
          <w:tcPr/>
          <w:p>
            <w:pPr>
              <w:pStyle w:val="Compact"/>
            </w:pPr>
            <w:r>
              <w:t xml:space="preserve">“Blessing”</w:t>
            </w:r>
            <w:r>
              <w:t xml:space="preserve"> </w:t>
            </w:r>
            <w:r>
              <w:t xml:space="preserve">is total-life flourishing — agricultural, reproductive, physical</w:t>
            </w:r>
          </w:p>
        </w:tc>
      </w:tr>
      <w:tr>
        <w:tc>
          <w:tcPr/>
          <w:p>
            <w:pPr>
              <w:pStyle w:val="Compact"/>
            </w:pPr>
            <w:r>
              <w:t xml:space="preserve">14–15</w:t>
            </w:r>
          </w:p>
        </w:tc>
        <w:tc>
          <w:tcPr/>
          <w:p>
            <w:pPr>
              <w:pStyle w:val="Compact"/>
            </w:pPr>
            <w:r>
              <w:t xml:space="preserve">Blessed above all peoples; no male or female barren; diseases of Egypt removed</w:t>
            </w:r>
          </w:p>
        </w:tc>
        <w:tc>
          <w:tcPr/>
          <w:p>
            <w:pPr>
              <w:pStyle w:val="Compact"/>
            </w:pPr>
            <w:r>
              <w:t xml:space="preserve">Egypt becomes the contrast-point: what was plague for Egypt becomes blessing for Israel</w:t>
            </w:r>
          </w:p>
        </w:tc>
      </w:tr>
      <w:tr>
        <w:tc>
          <w:tcPr/>
          <w:p>
            <w:pPr>
              <w:pStyle w:val="Compact"/>
            </w:pPr>
            <w:r>
              <w:t xml:space="preserve">16</w:t>
            </w:r>
          </w:p>
        </w:tc>
        <w:tc>
          <w:tcPr/>
          <w:p>
            <w:pPr>
              <w:pStyle w:val="Compact"/>
            </w:pPr>
            <w:r>
              <w:t xml:space="preserve">Consume all peoples; do not pity; do not serve their gods — that would be a snare</w:t>
            </w:r>
          </w:p>
        </w:tc>
        <w:tc>
          <w:tcPr/>
          <w:p>
            <w:pPr>
              <w:pStyle w:val="Compact"/>
            </w:pPr>
            <w:r>
              <w:t xml:space="preserve">“Snare”</w:t>
            </w:r>
            <w:r>
              <w:t xml:space="preserve"> </w:t>
            </w:r>
            <w:r>
              <w:t xml:space="preserve">(</w:t>
            </w:r>
            <w:r>
              <w:rPr>
                <w:i/>
                <w:iCs/>
              </w:rPr>
              <w:t xml:space="preserve">moqesh</w:t>
            </w:r>
            <w:r>
              <w:t xml:space="preserve">) — the danger is entrapment, not merely misstep</w:t>
            </w:r>
          </w:p>
        </w:tc>
      </w:tr>
      <w:tr>
        <w:tc>
          <w:tcPr/>
          <w:p>
            <w:pPr>
              <w:pStyle w:val="Compact"/>
            </w:pPr>
            <w:r>
              <w:t xml:space="preserve">17–18</w:t>
            </w:r>
          </w:p>
        </w:tc>
        <w:tc>
          <w:tcPr/>
          <w:p>
            <w:pPr>
              <w:pStyle w:val="Compact"/>
            </w:pPr>
            <w:r>
              <w:t xml:space="preserve">Anticipate the objection:</w:t>
            </w:r>
            <w:r>
              <w:t xml:space="preserve"> </w:t>
            </w:r>
            <w:r>
              <w:t xml:space="preserve">“These nations are more than I”</w:t>
            </w:r>
            <w:r>
              <w:t xml:space="preserve"> </w:t>
            </w:r>
            <w:r>
              <w:t xml:space="preserve">— do not be afraid</w:t>
            </w:r>
          </w:p>
        </w:tc>
        <w:tc>
          <w:tcPr/>
          <w:p>
            <w:pPr>
              <w:pStyle w:val="Compact"/>
            </w:pPr>
            <w:r>
              <w:t xml:space="preserve">Moses names the fear explicitly and commands against it</w:t>
            </w:r>
          </w:p>
        </w:tc>
      </w:tr>
      <w:tr>
        <w:tc>
          <w:tcPr/>
          <w:p>
            <w:pPr>
              <w:pStyle w:val="Compact"/>
            </w:pPr>
            <w:r>
              <w:t xml:space="preserve">18–19</w:t>
            </w:r>
          </w:p>
        </w:tc>
        <w:tc>
          <w:tcPr/>
          <w:p>
            <w:pPr>
              <w:pStyle w:val="Compact"/>
            </w:pPr>
            <w:r>
              <w:t xml:space="preserve">Remember what the LORD did to Egypt — great trials, signs, wonders, mighty hand</w:t>
            </w:r>
          </w:p>
        </w:tc>
        <w:tc>
          <w:tcPr/>
          <w:p>
            <w:pPr>
              <w:pStyle w:val="Compact"/>
            </w:pPr>
            <w:r>
              <w:t xml:space="preserve">Memory as weapon against fear; Egypt was a mightier obstacle than Canaan</w:t>
            </w:r>
          </w:p>
        </w:tc>
      </w:tr>
      <w:tr>
        <w:tc>
          <w:tcPr/>
          <w:p>
            <w:pPr>
              <w:pStyle w:val="Compact"/>
            </w:pPr>
            <w:r>
              <w:t xml:space="preserve">20–21</w:t>
            </w:r>
          </w:p>
        </w:tc>
        <w:tc>
          <w:tcPr/>
          <w:p>
            <w:pPr>
              <w:pStyle w:val="Compact"/>
            </w:pPr>
            <w:r>
              <w:t xml:space="preserve">The LORD will send hornets; do not be terrified — the LORD your God is in your midst, a great and awesome God</w:t>
            </w:r>
          </w:p>
        </w:tc>
        <w:tc>
          <w:tcPr/>
          <w:p>
            <w:pPr>
              <w:pStyle w:val="Compact"/>
            </w:pPr>
            <w:r>
              <w:t xml:space="preserve">Hornets: perhaps literal, perhaps metaphorical for panic; the LORD’s presence is the decisive factor</w:t>
            </w:r>
          </w:p>
        </w:tc>
      </w:tr>
      <w:tr>
        <w:tc>
          <w:tcPr/>
          <w:p>
            <w:pPr>
              <w:pStyle w:val="Compact"/>
            </w:pPr>
            <w:r>
              <w:t xml:space="preserve">22</w:t>
            </w:r>
          </w:p>
        </w:tc>
        <w:tc>
          <w:tcPr/>
          <w:p>
            <w:pPr>
              <w:pStyle w:val="Compact"/>
            </w:pPr>
            <w:r>
              <w:t xml:space="preserve">The LORD will clear them away little by little — not all at once, lest wild beasts multiply</w:t>
            </w:r>
          </w:p>
        </w:tc>
        <w:tc>
          <w:tcPr/>
          <w:p>
            <w:pPr>
              <w:pStyle w:val="Compact"/>
            </w:pPr>
            <w:r>
              <w:t xml:space="preserve">Divine wisdom in the pace of the conquest; God controls the rate of progress</w:t>
            </w:r>
          </w:p>
        </w:tc>
      </w:tr>
      <w:tr>
        <w:tc>
          <w:tcPr/>
          <w:p>
            <w:pPr>
              <w:pStyle w:val="Compact"/>
            </w:pPr>
            <w:r>
              <w:t xml:space="preserve">23–24</w:t>
            </w:r>
          </w:p>
        </w:tc>
        <w:tc>
          <w:tcPr/>
          <w:p>
            <w:pPr>
              <w:pStyle w:val="Compact"/>
            </w:pPr>
            <w:r>
              <w:t xml:space="preserve">Deliver them before you; throw them into confusion; destroy them; their name perishes</w:t>
            </w:r>
          </w:p>
        </w:tc>
        <w:tc>
          <w:tcPr/>
          <w:p>
            <w:pPr>
              <w:pStyle w:val="Compact"/>
            </w:pPr>
            <w:r>
              <w:t xml:space="preserve">“Throw them into confusion”</w:t>
            </w:r>
            <w:r>
              <w:t xml:space="preserve"> </w:t>
            </w:r>
            <w:r>
              <w:t xml:space="preserve">— the LORD goes before; Israel follows up</w:t>
            </w:r>
          </w:p>
        </w:tc>
      </w:tr>
      <w:tr>
        <w:tc>
          <w:tcPr/>
          <w:p>
            <w:pPr>
              <w:pStyle w:val="Compact"/>
            </w:pPr>
            <w:r>
              <w:t xml:space="preserve">25–26</w:t>
            </w:r>
          </w:p>
        </w:tc>
        <w:tc>
          <w:tcPr/>
          <w:p>
            <w:pPr>
              <w:pStyle w:val="Compact"/>
            </w:pPr>
            <w:r>
              <w:t xml:space="preserve">Do not covet the silver and gold on their idols; do not bring it into your house — it is a</w:t>
            </w:r>
            <w:r>
              <w:t xml:space="preserve"> </w:t>
            </w:r>
            <w:r>
              <w:rPr>
                <w:i/>
                <w:iCs/>
              </w:rPr>
              <w:t xml:space="preserve">herem</w:t>
            </w:r>
            <w:r>
              <w:t xml:space="preserve"> </w:t>
            </w:r>
            <w:r>
              <w:t xml:space="preserve">thing</w:t>
            </w:r>
          </w:p>
        </w:tc>
        <w:tc>
          <w:tcPr/>
          <w:p>
            <w:pPr>
              <w:pStyle w:val="Compact"/>
            </w:pPr>
            <w:r>
              <w:t xml:space="preserve">The temptation to monetize conquest is addressed; the material artifacts of false worship carry spiritual contamination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Command: Destroy, Separate, and Remove All Canaanite Religious Structure</w:t>
            </w:r>
          </w:p>
        </w:tc>
      </w:tr>
      <w:tr>
        <w:tc>
          <w:tcPr/>
          <w:p>
            <w:pPr>
              <w:pStyle w:val="Compact"/>
            </w:pPr>
            <w:r>
              <w:t xml:space="preserve">2</w:t>
            </w:r>
          </w:p>
        </w:tc>
        <w:tc>
          <w:tcPr/>
          <w:p>
            <w:pPr>
              <w:pStyle w:val="Compact"/>
            </w:pPr>
            <w:r>
              <w:t xml:space="preserve">6–10</w:t>
            </w:r>
          </w:p>
        </w:tc>
        <w:tc>
          <w:tcPr/>
          <w:p>
            <w:pPr>
              <w:pStyle w:val="Compact"/>
            </w:pPr>
            <w:r>
              <w:t xml:space="preserve">The Identity: A Treasured, Chosen, Loved People — Not Because of Merit, But by Grace</w:t>
            </w:r>
          </w:p>
        </w:tc>
      </w:tr>
      <w:tr>
        <w:tc>
          <w:tcPr/>
          <w:p>
            <w:pPr>
              <w:pStyle w:val="Compact"/>
            </w:pPr>
            <w:r>
              <w:t xml:space="preserve">3</w:t>
            </w:r>
          </w:p>
        </w:tc>
        <w:tc>
          <w:tcPr/>
          <w:p>
            <w:pPr>
              <w:pStyle w:val="Compact"/>
            </w:pPr>
            <w:r>
              <w:t xml:space="preserve">11</w:t>
            </w:r>
          </w:p>
        </w:tc>
        <w:tc>
          <w:tcPr/>
          <w:p>
            <w:pPr>
              <w:pStyle w:val="Compact"/>
            </w:pPr>
            <w:r>
              <w:t xml:space="preserve">The Hinge: Therefore, Keep</w:t>
            </w:r>
          </w:p>
        </w:tc>
      </w:tr>
      <w:tr>
        <w:tc>
          <w:tcPr/>
          <w:p>
            <w:pPr>
              <w:pStyle w:val="Compact"/>
            </w:pPr>
            <w:r>
              <w:t xml:space="preserve">4</w:t>
            </w:r>
          </w:p>
        </w:tc>
        <w:tc>
          <w:tcPr/>
          <w:p>
            <w:pPr>
              <w:pStyle w:val="Compact"/>
            </w:pPr>
            <w:r>
              <w:t xml:space="preserve">12–16</w:t>
            </w:r>
          </w:p>
        </w:tc>
        <w:tc>
          <w:tcPr/>
          <w:p>
            <w:pPr>
              <w:pStyle w:val="Compact"/>
            </w:pPr>
            <w:r>
              <w:t xml:space="preserve">The Promise: Covenant Faithfulness Produces Total-Life Blessing</w:t>
            </w:r>
          </w:p>
        </w:tc>
      </w:tr>
      <w:tr>
        <w:tc>
          <w:tcPr/>
          <w:p>
            <w:pPr>
              <w:pStyle w:val="Compact"/>
            </w:pPr>
            <w:r>
              <w:t xml:space="preserve">5</w:t>
            </w:r>
          </w:p>
        </w:tc>
        <w:tc>
          <w:tcPr/>
          <w:p>
            <w:pPr>
              <w:pStyle w:val="Compact"/>
            </w:pPr>
            <w:r>
              <w:t xml:space="preserve">17–26</w:t>
            </w:r>
          </w:p>
        </w:tc>
        <w:tc>
          <w:tcPr/>
          <w:p>
            <w:pPr>
              <w:pStyle w:val="Compact"/>
            </w:pPr>
            <w:r>
              <w:t xml:space="preserve">The Courage: Do Not Fear the Nations — Fear the LORD Who Fights for You</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identity as the LORD’s beloved, chosen people grounds radical separation from Canaanite religion.</w:t>
      </w:r>
    </w:p>
    <w:p>
      <w:pPr>
        <w:pStyle w:val="BodyText"/>
      </w:pPr>
      <w:r>
        <w:rPr>
          <w:b/>
          <w:bCs/>
        </w:rPr>
        <w:t xml:space="preserve">Primary Claim:</w:t>
      </w:r>
      <w:r>
        <w:t xml:space="preserve"> </w:t>
      </w:r>
      <w:r>
        <w:t xml:space="preserve">God is calling His people to understand their chosen identity so thoroughly — as loved, not as deserving — that the fear of the nations is displaced by confident, worshipful obedience and complete refusal of religious syncretism.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Stop explaining your significance by your size, your record, or your résumé — and start explaining it by the love of the One who chose you.</w:t>
      </w:r>
    </w:p>
    <w:p>
      <w:pPr>
        <w:pStyle w:val="BodyText"/>
      </w:pPr>
      <w:r>
        <w:t xml:space="preserve">Deuteronomy 7:7–8 explicitly removes every basis for self-congratulation: Israel was the smallest, and that was the point. The election was not triggered by anything Israel brought — it was driven by love and prior oath. The Christian who understands this cannot locate her significance in achievement, performance, or social standing, because the text has already eliminated that accounting. The application is not a vague</w:t>
      </w:r>
      <w:r>
        <w:t xml:space="preserve"> </w:t>
      </w:r>
      <w:r>
        <w:t xml:space="preserve">“be humble”</w:t>
      </w:r>
      <w:r>
        <w:t xml:space="preserve"> </w:t>
      </w:r>
      <w:r>
        <w:t xml:space="preserve">— it is a specific cognitive displacement: every time you find yourself calculating your worth by what you’ve accomplished or what others think of you, you are thinking like a Canaanite, not like a person loved by the LORD of the universe for reasons entirely His own. Return to the text:</w:t>
      </w:r>
      <w:r>
        <w:t xml:space="preserve"> </w:t>
      </w:r>
      <w:r>
        <w:rPr>
          <w:i/>
          <w:iCs/>
        </w:rPr>
        <w:t xml:space="preserve">He set His affection on you and chose you</w:t>
      </w:r>
      <w:r>
        <w:t xml:space="preserve"> </w:t>
      </w:r>
      <w:r>
        <w:t xml:space="preserve">— not because you were great, but because He is.</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Let the faithfulness of God to His covenant become the emotional bedrock from which you face what frightens you.</w:t>
      </w:r>
    </w:p>
    <w:p>
      <w:pPr>
        <w:pStyle w:val="BodyText"/>
      </w:pPr>
      <w:r>
        <w:t xml:space="preserve">Verses 17–19 address a specific, named fear:</w:t>
      </w:r>
      <w:r>
        <w:t xml:space="preserve"> </w:t>
      </w:r>
      <w:r>
        <w:t xml:space="preserve">“These nations are more than I.”</w:t>
      </w:r>
      <w:r>
        <w:t xml:space="preserve"> </w:t>
      </w:r>
      <w:r>
        <w:t xml:space="preserve">Moses does not dismiss the fear — he redirects it. The antidote is not courage by willpower but</w:t>
      </w:r>
      <w:r>
        <w:t xml:space="preserve"> </w:t>
      </w:r>
      <w:r>
        <w:rPr>
          <w:i/>
          <w:iCs/>
        </w:rPr>
        <w:t xml:space="preserve">memory</w:t>
      </w:r>
      <w:r>
        <w:t xml:space="preserve">: remember what the LORD did to Egypt. The Egyptians were a far greater obstacle than the Canaanites — and Pharaoh’s armies are at the bottom of the Red Sea. The application asks the hearer not merely to accept a proposition about God’s power, but to do the affective work of actually meditating on the track record of God’s faithfulness until it produces something — until</w:t>
      </w:r>
      <w:r>
        <w:t xml:space="preserve"> </w:t>
      </w:r>
      <w:r>
        <w:t xml:space="preserve">“He kept His oath to the fathers”</w:t>
      </w:r>
      <w:r>
        <w:t xml:space="preserve"> </w:t>
      </w:r>
      <w:r>
        <w:t xml:space="preserve">becomes an emotionally stabilizing reality, not a theological data point. What is your Egypt? What has God already dismantled that you once thought immovable? Live from that memory.</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Identify and remove the specific religious infrastructure in your life that makes syncretism possible — not just the surface behaviors, but the altars.</w:t>
      </w:r>
    </w:p>
    <w:p>
      <w:pPr>
        <w:pStyle w:val="BodyText"/>
      </w:pPr>
      <w:r>
        <w:t xml:space="preserve">Verse 5 does not merely command Israel to stop worshipping at Canaanite altars — it commands them to tear down the altars, smash the sacred pillars, and burn the Asherah poles. The religious infrastructure has to go, because as long as it stands, it creates the conditions for returning. The application is concrete and diagnostic: What structures in your daily life make it easy to drift back toward trusting something other than the LORD? It is not enough to resolve to use social media differently — you may need to remove the app. It is not enough to feel bad about a financial idol — you may need to restructure your relationship with money at the structural level. What is the altar? Where is the Asherah pole? Israel was not merely to avoid Canaanite worship; they were to remove the physical conditions that made it possible.</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Understand that your call to holiness is not based on your moral superiority — it is based on being owned by a holy God.</w:t>
      </w:r>
    </w:p>
    <w:p>
      <w:pPr>
        <w:pStyle w:val="BodyText"/>
      </w:pPr>
      <w:r>
        <w:t xml:space="preserve">The danger in Deuteronomy 7 is a reading that produces spiritual pride: we are the chosen people, we are the treasured possession, therefore we are better than the nations. The text explicitly blocks this: Israel is not chosen because it is better, bigger, or more deserving. The call to separation is entirely derivative from the character and initiative of God, not from any quality in Israel. The same logic applies to the church. The Christian is not called to holiness because she is inherently better than the surrounding culture — she is called to holiness because she belongs to a holy God who purchased her at infinite cost. When holiness becomes about superiority, it has already collapsed into exactly the kind of self-generated religion the Canaanite altars represented. Return the call to holiness to its only stable foundation:</w:t>
      </w:r>
      <w:r>
        <w:t xml:space="preserve"> </w:t>
      </w:r>
      <w:r>
        <w:rPr>
          <w:i/>
          <w:iCs/>
        </w:rPr>
        <w:t xml:space="preserve">you are His.</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Let the asymmetry of grace — that the smallest was chosen, not the largest — produce wonder rather than anxiety about your own inadequacy.</w:t>
      </w:r>
    </w:p>
    <w:p>
      <w:pPr>
        <w:pStyle w:val="BodyText"/>
      </w:pPr>
      <w:r>
        <w:t xml:space="preserve">The logic of vv. 7–8 is deliberately paradoxical: the one who was</w:t>
      </w:r>
      <w:r>
        <w:t xml:space="preserve"> </w:t>
      </w:r>
      <w:r>
        <w:rPr>
          <w:i/>
          <w:iCs/>
        </w:rPr>
        <w:t xml:space="preserve">least</w:t>
      </w:r>
      <w:r>
        <w:t xml:space="preserve"> </w:t>
      </w:r>
      <w:r>
        <w:t xml:space="preserve">was chosen. This is not an accident or an oversight — it is a pattern in God’s dealings that runs from the call of Abraham (one old man from Ur), through the choosing of David (the youngest son, the shepherd boy), through the Incarnation (a manger in Bethlehem, not a palace in Rome), through Paul’s</w:t>
      </w:r>
      <w:r>
        <w:t xml:space="preserve"> </w:t>
      </w:r>
      <w:r>
        <w:t xml:space="preserve">“not many wise, not many powerful”</w:t>
      </w:r>
      <w:r>
        <w:t xml:space="preserve"> </w:t>
      </w:r>
      <w:r>
        <w:t xml:space="preserve">(1 Corinthians 1:26). The application is addressed to the person who feels small, insufficient, or overlooked: the size of the vessel is not what determines the faithfulness of God toward it. Your inadequacy is not a barrier to His love; it is precisely the field in which His love operates most visibly. Receive this not as a proposition to be agreed with but as a reality to be marveled at.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Deuteronomy 7 provides one of the Old Testament’s most explicit and theologically careful expositions of divine election, rooted not in human worth or national achievement but in the sovereign love and faithful oath of the LORD. The passage teaches that God’s choice of Israel was unconditional — the smallness of the nation is the explicit counterfactual that eliminates any merit-based logic — and that this choice was grounded in two realities entirely outside Israel: God’s own love (</w:t>
      </w:r>
      <w:r>
        <w:rPr>
          <w:i/>
          <w:iCs/>
        </w:rPr>
        <w:t xml:space="preserve">ahavah</w:t>
      </w:r>
      <w:r>
        <w:t xml:space="preserve">, v. 8) and His prior oath to the fathers (v. 8). Equally important is the chapter’s teaching on the character of God as both faithful (</w:t>
      </w:r>
      <w:r>
        <w:rPr>
          <w:i/>
          <w:iCs/>
        </w:rPr>
        <w:t xml:space="preserve">ne’eman</w:t>
      </w:r>
      <w:r>
        <w:t xml:space="preserve">, v. 9) and just: He keeps covenant love for thousands of generations, and He repays those who reject Him (v. 10). The integration of love and justice in the same God who chose Israel is not a theological tension to be managed but a portrait to be received — the LORD is not merely powerful, He is covenantally committed, and His commitment is total and multi-generational. The chapter also grounds the call to holiness entirely in the prior act of grace: Israel is not working toward</w:t>
      </w:r>
      <w:r>
        <w:t xml:space="preserve"> </w:t>
      </w:r>
      <w:r>
        <w:rPr>
          <w:i/>
          <w:iCs/>
        </w:rPr>
        <w:t xml:space="preserve">segullah</w:t>
      </w:r>
      <w:r>
        <w:t xml:space="preserve"> </w:t>
      </w:r>
      <w:r>
        <w:t xml:space="preserve">status — she already is the treasured possession; obedience is the response, not the cause.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Deuteronomy 7:6–8 functions in the canon as a foundational Old Testament warrant for the Reformed doctrine of unconditional election — a passage that Paul directly expounds in Romans 9 and that Peter applies to the New Covenant church in 1 Peter 2:9. The chapter displays the</w:t>
      </w:r>
      <w:r>
        <w:t xml:space="preserve"> </w:t>
      </w:r>
      <w:r>
        <w:rPr>
          <w:i/>
          <w:iCs/>
        </w:rPr>
        <w:t xml:space="preserve">ordo salutis</w:t>
      </w:r>
      <w:r>
        <w:t xml:space="preserve"> </w:t>
      </w:r>
      <w:r>
        <w:t xml:space="preserve">in covenantal form: God chooses (vv. 6–8), God redeems (v. 8), God commits (v. 9), and the people respond in obedience (v. 11). The shape is consistently grace-prior, response-following — never reversed. The prohibition of syncretism reflects the Reformed insistence on the</w:t>
      </w:r>
      <w:r>
        <w:t xml:space="preserve"> </w:t>
      </w:r>
      <w:r>
        <w:rPr>
          <w:i/>
          <w:iCs/>
        </w:rPr>
        <w:t xml:space="preserve">regulative principle</w:t>
      </w:r>
      <w:r>
        <w:t xml:space="preserve"> </w:t>
      </w:r>
      <w:r>
        <w:t xml:space="preserve">of worship: Israel was not to improvise on Canaanite worship patterns or adapt them for Yahwistic purposes — she was to destroy the infrastructure entirely and worship only as God commanded. The chapter also models the Reformed understanding of the covenant’s administration: the election itself is unconditional, but covenantal flourishing is conditional on faithfulness (vv. 12–15) — a distinction that guards against both antinomianism (election without obligation) and moralism (obligation without gracious foundation). Finally, the herem command, read within a redemptive-historical frame, anticipates the eschatological judgment in which all rival gods and their worship systems are finally destroyed — a trajectory fulfilled in Christ’s victory over the powers (Colossians 2:15) and consummated at His return.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not chosen because you are impressive — you are chosen because He is loving. That is the only ground secure enough to stand on when the nations around you look larger and more powerful than you feel. The command to separate from everything that competes with the LORD is not a burden laid on strangers — it is a call addressed to the treasured possession of the Most High God, who fought Egypt for you, who keeps covenant for thousands of generations, and who is already in your midst. Stop living like someone who needs the world’s approval or the world’s gods. You already have the One who made them.</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conquest narrative or a history lesson.</w:t>
      </w:r>
      <w:r>
        <w:t xml:space="preserve"> </w:t>
      </w:r>
      <w:r>
        <w:t xml:space="preserve">The dominant temptation in preaching Deuteronomy 7 is to spend the sermon explaining what the herem command means, defending it ethically, and contextualizing the Canaanites — and then running out of time before reaching the theological heart in vv. 6–11. The chapter is not primarily about the conquest; the conquest is the occasion for the theological declaration. The preacher who invests most of her exegetical capital in vv. 1–5 and 17–26 will preach a sermon about ancient Israelite military policy. The preacher who treats vv. 6–11 as the interpretive center will preach a sermon about grace, identity, and the character of God. The former may be accurate; only the latter is the chapter’s own intent.</w:t>
      </w:r>
    </w:p>
    <w:p>
      <w:pPr>
        <w:numPr>
          <w:ilvl w:val="0"/>
          <w:numId w:val="1002"/>
        </w:numPr>
      </w:pPr>
      <w:r>
        <w:rPr>
          <w:b/>
          <w:bCs/>
        </w:rPr>
        <w:t xml:space="preserve">Moralizing the separation command into cultural withdrawal or ethnic separatism.</w:t>
      </w:r>
      <w:r>
        <w:t xml:space="preserve"> </w:t>
      </w:r>
      <w:r>
        <w:t xml:space="preserve">The prohibition on intermarriage and treaty with the Canaanite nations is specifically and explicitly theological in its rationale (v. 4:</w:t>
      </w:r>
      <w:r>
        <w:t xml:space="preserve"> </w:t>
      </w:r>
      <w:r>
        <w:t xml:space="preserve">“they will turn your sons away from following Me”</w:t>
      </w:r>
      <w:r>
        <w:t xml:space="preserve">). It is not a warrant for racial endogamy, cultural insularity, or ethnic pride. A preacher who applies Deuteronomy 7 to contemporary cultural engagement without carefully grounding the separation command in its theological rationale — spiritual contamination, not ethnic purity — risks generating a congregation that is proud of its separatism rather than holy in its worship.</w:t>
      </w:r>
    </w:p>
    <w:p>
      <w:pPr>
        <w:numPr>
          <w:ilvl w:val="0"/>
          <w:numId w:val="1002"/>
        </w:numPr>
      </w:pPr>
      <w:r>
        <w:rPr>
          <w:b/>
          <w:bCs/>
        </w:rPr>
        <w:t xml:space="preserve">Skipping the fear passage (vv. 17–18) as if courage is merely commanded.</w:t>
      </w:r>
      <w:r>
        <w:t xml:space="preserve"> </w:t>
      </w:r>
      <w:r>
        <w:t xml:space="preserve">Moses does not simply say</w:t>
      </w:r>
      <w:r>
        <w:t xml:space="preserve"> </w:t>
      </w:r>
      <w:r>
        <w:t xml:space="preserve">“do not be afraid”</w:t>
      </w:r>
      <w:r>
        <w:t xml:space="preserve"> </w:t>
      </w:r>
      <w:r>
        <w:t xml:space="preserve">— he says</w:t>
      </w:r>
      <w:r>
        <w:t xml:space="preserve"> </w:t>
      </w:r>
      <w:r>
        <w:t xml:space="preserve">“do not be afraid</w:t>
      </w:r>
      <w:r>
        <w:t xml:space="preserve"> </w:t>
      </w:r>
      <w:r>
        <w:rPr>
          <w:i/>
          <w:iCs/>
        </w:rPr>
        <w:t xml:space="preserve">because</w:t>
      </w:r>
      <w:r>
        <w:t xml:space="preserve"> </w:t>
      </w:r>
      <w:r>
        <w:t xml:space="preserve">remember Egypt.”</w:t>
      </w:r>
      <w:r>
        <w:t xml:space="preserve"> </w:t>
      </w:r>
      <w:r>
        <w:t xml:space="preserve">The chapter provides the cognitive and affective content that makes courage possible. A sermon that calls people to courageous obedience without supplying the memory and theological grounding that Moses supplies has left the hearer with an imperative and no engine. The specific pastoral move of the passage —</w:t>
      </w:r>
      <w:r>
        <w:t xml:space="preserve"> </w:t>
      </w:r>
      <w:r>
        <w:t xml:space="preserve">“remember what was done to Pharaoh”</w:t>
      </w:r>
      <w:r>
        <w:t xml:space="preserve"> </w:t>
      </w:r>
      <w:r>
        <w:t xml:space="preserve">— is load-bearing and must be preached as the mechanism, not merely cited in passing.</w:t>
      </w:r>
    </w:p>
    <w:p>
      <w:pPr>
        <w:numPr>
          <w:ilvl w:val="0"/>
          <w:numId w:val="1002"/>
        </w:numPr>
      </w:pPr>
      <w:r>
        <w:rPr>
          <w:b/>
          <w:bCs/>
        </w:rPr>
        <w:t xml:space="preserve">Decontextualizing the election passage (vv. 6–8) as a proof text for systematic theology without attending to its covenantal function.</w:t>
      </w:r>
      <w:r>
        <w:t xml:space="preserve"> </w:t>
      </w:r>
      <w:r>
        <w:t xml:space="preserve">Verses 6–8 are frequently extracted and used as a straightforward proof of Calvinist election doctrine — which is legitimate, as far as it goes. But in Deuteronomy 7, election is not taught for its own sake; it is taught as the motivational grounding for a specific ethical command. The preacher who teaches this passage primarily to win a debate about election has missed Moses’s purpose: he is not producing a doctrinal statement but a motivated, obedient people. Election lands here as</w:t>
      </w:r>
      <w:r>
        <w:t xml:space="preserve"> </w:t>
      </w:r>
      <w:r>
        <w:rPr>
          <w:i/>
          <w:iCs/>
        </w:rPr>
        <w:t xml:space="preserve">fuel for obedience</w:t>
      </w:r>
      <w:r>
        <w:t xml:space="preserve">, not as a theological trophy.</w:t>
      </w:r>
    </w:p>
    <w:p>
      <w:pPr>
        <w:numPr>
          <w:ilvl w:val="0"/>
          <w:numId w:val="1002"/>
        </w:numPr>
      </w:pPr>
      <w:r>
        <w:rPr>
          <w:b/>
          <w:bCs/>
        </w:rPr>
        <w:t xml:space="preserve">Treating the conditional blessings (vv. 12–15) as a prosperity gospel template.</w:t>
      </w:r>
      <w:r>
        <w:t xml:space="preserve"> </w:t>
      </w:r>
      <w:r>
        <w:t xml:space="preserve">The covenantal conditionality of vv. 12–15 —</w:t>
      </w:r>
      <w:r>
        <w:t xml:space="preserve"> </w:t>
      </w:r>
      <w:r>
        <w:t xml:space="preserve">“if you listen… He will bless your fruit, your grain, your livestock”</w:t>
      </w:r>
      <w:r>
        <w:t xml:space="preserve"> </w:t>
      </w:r>
      <w:r>
        <w:t xml:space="preserve">— is real and must not be spiritualized away. But it must be read within its covenantal and redemptive-historical frame: these are Deuteronomic covenant blessings operating within Israel’s specific theocratic situation in the land, not a general principle that faithfulness produces material prosperity for all believers in all times. A sermon that presents vv. 12–15 as a universal formula (</w:t>
      </w:r>
      <w:r>
        <w:t xml:space="preserve">“obey and God will bless your business”</w:t>
      </w:r>
      <w:r>
        <w:t xml:space="preserve">) has extracted the conditional promise from its covenantal context and produced something the text does not authorize.</w:t>
      </w:r>
    </w:p>
    <w:p>
      <w:pPr>
        <w:numPr>
          <w:ilvl w:val="0"/>
          <w:numId w:val="1002"/>
        </w:numPr>
      </w:pPr>
      <w:r>
        <w:rPr>
          <w:b/>
          <w:bCs/>
        </w:rPr>
        <w:t xml:space="preserve">Failing to apply the</w:t>
      </w:r>
      <w:r>
        <w:rPr>
          <w:b/>
          <w:bCs/>
        </w:rPr>
        <w:t xml:space="preserve"> </w:t>
      </w:r>
      <w:r>
        <w:rPr>
          <w:b/>
          <w:bCs/>
        </w:rPr>
        <w:t xml:space="preserve">“snare”</w:t>
      </w:r>
      <w:r>
        <w:rPr>
          <w:b/>
          <w:bCs/>
        </w:rPr>
        <w:t xml:space="preserve"> </w:t>
      </w:r>
      <w:r>
        <w:rPr>
          <w:b/>
          <w:bCs/>
        </w:rPr>
        <w:t xml:space="preserve">language (vv. 16, 25) with sufficient diagnostic specificity.</w:t>
      </w:r>
      <w:r>
        <w:t xml:space="preserve"> </w:t>
      </w:r>
      <w:r>
        <w:t xml:space="preserve">The chapter uses</w:t>
      </w:r>
      <w:r>
        <w:t xml:space="preserve"> </w:t>
      </w:r>
      <w:r>
        <w:rPr>
          <w:i/>
          <w:iCs/>
        </w:rPr>
        <w:t xml:space="preserve">moqesh</w:t>
      </w:r>
      <w:r>
        <w:t xml:space="preserve"> </w:t>
      </w:r>
      <w:r>
        <w:t xml:space="preserve">(snare, trap) language twice — for the gods themselves (v. 16) and for the silver and gold of their images (v. 25). Moses is naming not just the overt threat of Canaanite worship but the subtler temptation: the economic and aesthetic value embedded in the religious system. Israel might be tempted not to bow before Baal but to monetize Baal’s artifacts. The contemporary application — that the things the idol is associated with (comfort, status, financial security, aesthetic pleasure) can trap us even after we’ve intellectually rejected the idol itself — is pastorally rich and frequently missed. Preach the snare, not just the prohibition.</w:t>
      </w:r>
    </w:p>
    <w:p>
      <w:r>
        <w:pict>
          <v:rect style="width:0;height:1.5pt" o:hralign="center" o:hrstd="t" o:hr="t"/>
        </w:pict>
      </w:r>
    </w:p>
    <w:p>
      <w:pPr>
        <w:pStyle w:val="FirstParagraph"/>
      </w:pPr>
      <w:r>
        <w:rPr>
          <w:i/>
          <w:iCs/>
        </w:rPr>
        <w:t xml:space="preserve">Document: 05 Deuteronomy 07.docx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2026-07-14T21:02:02Z</dcterms:created>
  <dcterms:modified xsi:type="dcterms:W3CDTF">2026-07-14T21:02:02Z</dcterms:modified>
</cp:coreProperties>
</file>

<file path=docProps/custom.xml><?xml version="1.0" encoding="utf-8"?>
<Properties xmlns="http://schemas.openxmlformats.org/officeDocument/2006/custom-properties" xmlns:vt="http://schemas.openxmlformats.org/officeDocument/2006/docPropsVTypes"/>
</file>